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苏州可瑞斯特纺织品有限公司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40" w:lineRule="exact"/>
        <w:jc w:val="center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重整投资人招募公告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ind w:firstLine="480" w:firstLineChars="200"/>
        <w:jc w:val="right"/>
        <w:textAlignment w:val="auto"/>
        <w:rPr>
          <w:rFonts w:hint="eastAsia" w:ascii="宋体" w:hAnsi="宋体" w:eastAsia="宋体" w:cs="宋体"/>
          <w:b w:val="0"/>
          <w:bCs w:val="0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（2019）可瑞斯特清管</w:t>
      </w:r>
      <w:r>
        <w:rPr>
          <w:rFonts w:hint="eastAsia" w:ascii="宋体" w:hAnsi="宋体" w:eastAsia="宋体" w:cs="宋体"/>
          <w:b w:val="0"/>
          <w:bCs w:val="0"/>
          <w:lang w:eastAsia="zh-CN"/>
        </w:rPr>
        <w:t>字第</w:t>
      </w:r>
      <w:r>
        <w:rPr>
          <w:rFonts w:hint="eastAsia" w:ascii="宋体" w:hAnsi="宋体" w:eastAsia="宋体" w:cs="宋体"/>
          <w:b w:val="0"/>
          <w:bCs w:val="0"/>
          <w:lang w:val="en-US" w:eastAsia="zh-CN"/>
        </w:rPr>
        <w:t>008</w:t>
      </w:r>
      <w:r>
        <w:rPr>
          <w:rFonts w:hint="eastAsia" w:ascii="宋体" w:hAnsi="宋体" w:eastAsia="宋体" w:cs="宋体"/>
          <w:b w:val="0"/>
          <w:bCs w:val="0"/>
          <w:lang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lang w:eastAsia="zh-CN"/>
        </w:rPr>
        <w:t>苏州可瑞斯特纺织品有限公司（</w:t>
      </w:r>
      <w:r>
        <w:rPr>
          <w:rFonts w:hint="eastAsia" w:ascii="宋体" w:hAnsi="宋体" w:eastAsia="宋体" w:cs="宋体"/>
          <w:b w:val="0"/>
          <w:bCs w:val="0"/>
          <w:lang w:val="en-US" w:eastAsia="zh-CN"/>
        </w:rPr>
        <w:t>以下简称“可瑞斯特公司”</w:t>
      </w:r>
      <w:r>
        <w:rPr>
          <w:rFonts w:hint="eastAsia" w:ascii="宋体" w:hAnsi="宋体" w:eastAsia="宋体" w:cs="宋体"/>
          <w:b w:val="0"/>
          <w:bCs w:val="0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lang w:val="en-US" w:eastAsia="zh-CN"/>
        </w:rPr>
        <w:t>因经营不善，向苏州市吴中区人民法院申请破产重整。苏州市吴中区人民法院经审查，于2019年9月30日作出（2019）苏0506破申（预）40号《预重整登记通知书》，决定对可瑞斯特公司进行预重整，并于同日作出决定书，指定由苏州市吴中区用直镇人民政府及有关部门人员组成的清算组（以下简称“清算组”）担任可瑞斯特公司预重整管理人，江苏剑桥颐华律师事务所作为社会中介机构参加清算组。为实现全体债权人利益最大化，管理人现通过公开渠道招募意向投资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firstLine="482" w:firstLineChars="200"/>
        <w:textAlignment w:val="auto"/>
        <w:rPr>
          <w:rFonts w:hint="eastAsia" w:ascii="黑体" w:hAnsi="黑体" w:eastAsia="黑体" w:cs="黑体"/>
          <w:b/>
          <w:bCs/>
          <w:lang w:val="en-US" w:eastAsia="zh-CN"/>
        </w:rPr>
      </w:pPr>
      <w:r>
        <w:rPr>
          <w:rFonts w:hint="eastAsia" w:ascii="黑体" w:hAnsi="黑体" w:eastAsia="黑体" w:cs="黑体"/>
          <w:b/>
          <w:bCs/>
          <w:lang w:val="en-US" w:eastAsia="zh-CN"/>
        </w:rPr>
        <w:t>一、招募须知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lang w:eastAsia="zh-CN"/>
        </w:rPr>
        <w:t>（一）本招募公告非要约文件，</w:t>
      </w:r>
      <w:r>
        <w:rPr>
          <w:rFonts w:hint="eastAsia" w:ascii="宋体" w:hAnsi="宋体" w:eastAsia="宋体" w:cs="宋体"/>
          <w:b w:val="0"/>
          <w:bCs w:val="0"/>
          <w:lang w:val="en-US" w:eastAsia="zh-CN"/>
        </w:rPr>
        <w:t>不具有重整投资协议的约束性效力</w:t>
      </w:r>
      <w:r>
        <w:rPr>
          <w:rFonts w:hint="eastAsia" w:ascii="宋体" w:hAnsi="宋体" w:eastAsia="宋体" w:cs="宋体"/>
          <w:b w:val="0"/>
          <w:bCs w:val="0"/>
          <w:lang w:eastAsia="zh-CN"/>
        </w:rPr>
        <w:t>，最终解释权属于</w:t>
      </w:r>
      <w:r>
        <w:rPr>
          <w:rFonts w:hint="eastAsia" w:ascii="宋体" w:hAnsi="宋体" w:eastAsia="宋体" w:cs="宋体"/>
          <w:b w:val="0"/>
          <w:bCs w:val="0"/>
          <w:lang w:val="en-US" w:eastAsia="zh-CN"/>
        </w:rPr>
        <w:t>清算组</w:t>
      </w:r>
      <w:r>
        <w:rPr>
          <w:rFonts w:hint="eastAsia" w:ascii="宋体" w:hAnsi="宋体" w:eastAsia="宋体" w:cs="宋体"/>
          <w:b w:val="0"/>
          <w:bCs w:val="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lang w:eastAsia="zh-CN"/>
        </w:rPr>
        <w:t>（二）</w:t>
      </w:r>
      <w:r>
        <w:rPr>
          <w:rFonts w:hint="eastAsia" w:ascii="宋体" w:hAnsi="宋体" w:eastAsia="宋体" w:cs="宋体"/>
          <w:b w:val="0"/>
          <w:bCs w:val="0"/>
          <w:lang w:val="en-US" w:eastAsia="zh-CN"/>
        </w:rPr>
        <w:t>本公告所述信息不能替代意向投资人尽职调查，</w:t>
      </w:r>
      <w:r>
        <w:rPr>
          <w:rFonts w:hint="eastAsia" w:ascii="宋体" w:hAnsi="宋体" w:eastAsia="宋体" w:cs="宋体"/>
          <w:b w:val="0"/>
          <w:bCs w:val="0"/>
          <w:lang w:eastAsia="zh-CN"/>
        </w:rPr>
        <w:t>意向投资人应当独立做出价值判断。</w:t>
      </w:r>
      <w:r>
        <w:rPr>
          <w:rFonts w:hint="eastAsia" w:ascii="宋体" w:hAnsi="宋体" w:eastAsia="宋体" w:cs="宋体"/>
          <w:b w:val="0"/>
          <w:bCs w:val="0"/>
          <w:lang w:val="en-US" w:eastAsia="zh-CN"/>
        </w:rPr>
        <w:t>意向投资人缴纳投资保证金并向管理人提交投资文件的，视为同意按转让标的现状进行投资，</w:t>
      </w:r>
      <w:r>
        <w:rPr>
          <w:rFonts w:hint="eastAsia" w:ascii="宋体" w:hAnsi="宋体" w:eastAsia="宋体" w:cs="宋体"/>
          <w:b w:val="0"/>
          <w:bCs w:val="0"/>
          <w:lang w:eastAsia="zh-CN"/>
        </w:rPr>
        <w:t>相关投资风险自行承担。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firstLine="482" w:firstLineChars="200"/>
        <w:textAlignment w:val="auto"/>
        <w:rPr>
          <w:rFonts w:hint="eastAsia" w:ascii="黑体" w:hAnsi="黑体" w:eastAsia="黑体" w:cs="黑体"/>
          <w:b/>
          <w:bCs/>
          <w:lang w:val="en-US" w:eastAsia="zh-CN"/>
        </w:rPr>
      </w:pPr>
      <w:r>
        <w:rPr>
          <w:rFonts w:hint="eastAsia" w:ascii="黑体" w:hAnsi="黑体" w:eastAsia="黑体" w:cs="黑体"/>
          <w:b/>
          <w:bCs/>
          <w:lang w:val="en-US" w:eastAsia="zh-CN"/>
        </w:rPr>
        <w:t>二、转让标的基本情况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after="63" w:afterLines="20" w:line="480" w:lineRule="exact"/>
        <w:ind w:firstLine="482" w:firstLineChars="200"/>
        <w:textAlignment w:val="auto"/>
        <w:rPr>
          <w:rFonts w:hint="eastAsia" w:ascii="楷体" w:hAnsi="楷体" w:eastAsia="楷体" w:cs="楷体"/>
          <w:b/>
          <w:bCs/>
          <w:lang w:val="en-US" w:eastAsia="zh-CN"/>
        </w:rPr>
      </w:pPr>
      <w:r>
        <w:rPr>
          <w:rFonts w:hint="eastAsia" w:ascii="楷体" w:hAnsi="楷体" w:eastAsia="楷体" w:cs="楷体"/>
          <w:b/>
          <w:bCs/>
          <w:lang w:val="en-US" w:eastAsia="zh-CN"/>
        </w:rPr>
        <w:t>（一）工商注册信息</w:t>
      </w:r>
    </w:p>
    <w:tbl>
      <w:tblPr>
        <w:tblStyle w:val="9"/>
        <w:tblW w:w="8787" w:type="dxa"/>
        <w:jc w:val="center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5"/>
        <w:gridCol w:w="6602"/>
      </w:tblGrid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2185" w:type="dxa"/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 w:val="18"/>
                <w:szCs w:val="18"/>
              </w:rPr>
              <w:t>企业名称</w:t>
            </w:r>
          </w:p>
        </w:tc>
        <w:tc>
          <w:tcPr>
            <w:tcW w:w="6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苏州可瑞斯特纺织品有限公司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2185" w:type="dxa"/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 w:val="18"/>
                <w:szCs w:val="18"/>
              </w:rPr>
              <w:t>统一社会信用代码</w:t>
            </w:r>
          </w:p>
        </w:tc>
        <w:tc>
          <w:tcPr>
            <w:tcW w:w="6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91320506765122675L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2185" w:type="dxa"/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 w:val="18"/>
                <w:szCs w:val="18"/>
              </w:rPr>
              <w:t>法定代表人</w:t>
            </w:r>
          </w:p>
        </w:tc>
        <w:tc>
          <w:tcPr>
            <w:tcW w:w="6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王永见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2185" w:type="dxa"/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 w:val="18"/>
                <w:szCs w:val="18"/>
              </w:rPr>
              <w:t>经营状态</w:t>
            </w:r>
          </w:p>
        </w:tc>
        <w:tc>
          <w:tcPr>
            <w:tcW w:w="6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存续（在营、开业、在册）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2185" w:type="dxa"/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 w:val="18"/>
                <w:szCs w:val="18"/>
              </w:rPr>
              <w:t>注册资本</w:t>
            </w:r>
          </w:p>
        </w:tc>
        <w:tc>
          <w:tcPr>
            <w:tcW w:w="6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1200万元人民币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2185" w:type="dxa"/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 w:val="18"/>
                <w:szCs w:val="18"/>
              </w:rPr>
              <w:t>注册时间</w:t>
            </w:r>
          </w:p>
        </w:tc>
        <w:tc>
          <w:tcPr>
            <w:tcW w:w="6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2004年08月31日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2185" w:type="dxa"/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b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 w:val="18"/>
                <w:szCs w:val="18"/>
                <w:lang w:val="en-US" w:eastAsia="zh-CN"/>
              </w:rPr>
              <w:t>营业期限</w:t>
            </w:r>
          </w:p>
        </w:tc>
        <w:tc>
          <w:tcPr>
            <w:tcW w:w="6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2004年08月31日至******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2185" w:type="dxa"/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 w:val="18"/>
                <w:szCs w:val="18"/>
              </w:rPr>
              <w:t>注册地址</w:t>
            </w:r>
          </w:p>
        </w:tc>
        <w:tc>
          <w:tcPr>
            <w:tcW w:w="6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苏州市吴中区甪直镇凌港路66-8号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2185" w:type="dxa"/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b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 w:val="18"/>
                <w:szCs w:val="18"/>
                <w:lang w:val="en-US" w:eastAsia="zh-CN"/>
              </w:rPr>
              <w:t>企业类型</w:t>
            </w:r>
          </w:p>
        </w:tc>
        <w:tc>
          <w:tcPr>
            <w:tcW w:w="6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有限责任公司(自然人投资或控股)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2185" w:type="dxa"/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 w:val="18"/>
                <w:szCs w:val="18"/>
              </w:rPr>
              <w:t>经营范围</w:t>
            </w:r>
          </w:p>
        </w:tc>
        <w:tc>
          <w:tcPr>
            <w:tcW w:w="6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生产、销售：针纺织品、床上用品、服装、服饰品、编织工艺品；销售：纺织原料、纺织设备及配件、服装面辅料； 自营和代理各类商品及技术的进出口业务。（依法须经批准的项目，经相关部门批准后方可开展经营活动）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2185" w:type="dxa"/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 w:val="18"/>
                <w:szCs w:val="18"/>
              </w:rPr>
              <w:t>登记机关</w:t>
            </w:r>
          </w:p>
        </w:tc>
        <w:tc>
          <w:tcPr>
            <w:tcW w:w="6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苏州市吴中区市场监督管理局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after="63" w:afterLines="20" w:line="480" w:lineRule="exact"/>
        <w:ind w:firstLine="482" w:firstLineChars="200"/>
        <w:textAlignment w:val="auto"/>
        <w:rPr>
          <w:rFonts w:hint="default" w:ascii="楷体" w:hAnsi="楷体" w:eastAsia="楷体" w:cs="楷体"/>
          <w:b/>
          <w:bCs/>
          <w:lang w:val="en-US" w:eastAsia="zh-CN"/>
        </w:rPr>
      </w:pPr>
      <w:r>
        <w:rPr>
          <w:rFonts w:hint="eastAsia" w:ascii="楷体" w:hAnsi="楷体" w:eastAsia="楷体" w:cs="楷体"/>
          <w:b/>
          <w:bCs/>
          <w:lang w:val="en-US" w:eastAsia="zh-CN"/>
        </w:rPr>
        <w:t>（二）股权结构</w:t>
      </w:r>
    </w:p>
    <w:tbl>
      <w:tblPr>
        <w:tblStyle w:val="13"/>
        <w:tblW w:w="8787" w:type="dxa"/>
        <w:jc w:val="center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1599"/>
        <w:gridCol w:w="1599"/>
        <w:gridCol w:w="1599"/>
        <w:gridCol w:w="1599"/>
        <w:gridCol w:w="1602"/>
      </w:tblGrid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449" w:type="pct"/>
            <w:tcBorders>
              <w:tl2br w:val="nil"/>
              <w:tr2bl w:val="nil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 w:val="18"/>
                <w:szCs w:val="18"/>
                <w:lang w:val="en-US" w:eastAsia="zh-CN"/>
              </w:rPr>
              <w:t>序号</w:t>
            </w:r>
          </w:p>
        </w:tc>
        <w:tc>
          <w:tcPr>
            <w:tcW w:w="909" w:type="pct"/>
            <w:tcBorders>
              <w:tl2br w:val="nil"/>
              <w:tr2bl w:val="nil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 w:val="18"/>
                <w:szCs w:val="18"/>
              </w:rPr>
              <w:t>股东</w:t>
            </w:r>
          </w:p>
        </w:tc>
        <w:tc>
          <w:tcPr>
            <w:tcW w:w="909" w:type="pct"/>
            <w:tcBorders>
              <w:tl2br w:val="nil"/>
              <w:tr2bl w:val="nil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 w:val="18"/>
                <w:szCs w:val="18"/>
              </w:rPr>
              <w:t>认缴出资</w:t>
            </w:r>
          </w:p>
        </w:tc>
        <w:tc>
          <w:tcPr>
            <w:tcW w:w="909" w:type="pct"/>
            <w:tcBorders>
              <w:tl2br w:val="nil"/>
              <w:tr2bl w:val="nil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b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 w:val="18"/>
                <w:szCs w:val="18"/>
                <w:lang w:val="en-US" w:eastAsia="zh-CN"/>
              </w:rPr>
              <w:t>实缴</w:t>
            </w:r>
            <w:r>
              <w:rPr>
                <w:rFonts w:hint="eastAsia" w:ascii="黑体" w:hAnsi="黑体" w:eastAsia="黑体" w:cs="黑体"/>
                <w:b/>
                <w:color w:val="auto"/>
                <w:sz w:val="18"/>
                <w:szCs w:val="18"/>
              </w:rPr>
              <w:t>出资</w:t>
            </w:r>
          </w:p>
        </w:tc>
        <w:tc>
          <w:tcPr>
            <w:tcW w:w="909" w:type="pct"/>
            <w:tcBorders>
              <w:tl2br w:val="nil"/>
              <w:tr2bl w:val="nil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 w:val="18"/>
                <w:szCs w:val="18"/>
                <w:lang w:val="en-US" w:eastAsia="zh-CN"/>
              </w:rPr>
              <w:t>出资方式</w:t>
            </w:r>
          </w:p>
        </w:tc>
        <w:tc>
          <w:tcPr>
            <w:tcW w:w="911" w:type="pct"/>
            <w:tcBorders>
              <w:tl2br w:val="nil"/>
              <w:tr2bl w:val="nil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b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 w:val="18"/>
                <w:szCs w:val="18"/>
                <w:lang w:val="en-US" w:eastAsia="zh-CN"/>
              </w:rPr>
              <w:t>持股比例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>王小琴</w:t>
            </w:r>
          </w:p>
        </w:tc>
        <w:tc>
          <w:tcPr>
            <w:tcW w:w="90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>960 万元</w:t>
            </w:r>
          </w:p>
        </w:tc>
        <w:tc>
          <w:tcPr>
            <w:tcW w:w="90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>960 万元</w:t>
            </w:r>
          </w:p>
        </w:tc>
        <w:tc>
          <w:tcPr>
            <w:tcW w:w="90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>货币</w:t>
            </w:r>
          </w:p>
        </w:tc>
        <w:tc>
          <w:tcPr>
            <w:tcW w:w="91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>80%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0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>王泽照</w:t>
            </w:r>
          </w:p>
        </w:tc>
        <w:tc>
          <w:tcPr>
            <w:tcW w:w="90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>240 万元</w:t>
            </w:r>
          </w:p>
        </w:tc>
        <w:tc>
          <w:tcPr>
            <w:tcW w:w="90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>240 万元</w:t>
            </w:r>
          </w:p>
        </w:tc>
        <w:tc>
          <w:tcPr>
            <w:tcW w:w="90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>货币</w:t>
            </w:r>
          </w:p>
        </w:tc>
        <w:tc>
          <w:tcPr>
            <w:tcW w:w="91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>20%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58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lang w:val="en-US" w:eastAsia="zh-CN"/>
              </w:rPr>
              <w:t>合计</w:t>
            </w:r>
          </w:p>
        </w:tc>
        <w:tc>
          <w:tcPr>
            <w:tcW w:w="90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1200万元</w:t>
            </w:r>
          </w:p>
        </w:tc>
        <w:tc>
          <w:tcPr>
            <w:tcW w:w="90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1200万元</w:t>
            </w:r>
          </w:p>
        </w:tc>
        <w:tc>
          <w:tcPr>
            <w:tcW w:w="90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91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>100%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after="63" w:afterLines="20" w:line="480" w:lineRule="exact"/>
        <w:ind w:firstLine="482" w:firstLineChars="200"/>
        <w:textAlignment w:val="auto"/>
        <w:rPr>
          <w:rFonts w:hint="eastAsia" w:ascii="楷体" w:hAnsi="楷体" w:eastAsia="楷体" w:cs="楷体"/>
          <w:b/>
          <w:bCs/>
          <w:lang w:val="en-US" w:eastAsia="zh-CN"/>
        </w:rPr>
      </w:pPr>
      <w:r>
        <w:rPr>
          <w:rFonts w:hint="eastAsia" w:ascii="楷体" w:hAnsi="楷体" w:eastAsia="楷体" w:cs="楷体"/>
          <w:b/>
          <w:bCs/>
          <w:lang w:val="en-US" w:eastAsia="zh-CN"/>
        </w:rPr>
        <w:t>（三）主要资产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1.土地使用权</w:t>
      </w:r>
    </w:p>
    <w:tbl>
      <w:tblPr>
        <w:tblStyle w:val="8"/>
        <w:tblW w:w="8787" w:type="dxa"/>
        <w:jc w:val="center"/>
        <w:tblBorders>
          <w:top w:val="single" w:color="BEBEBE" w:themeColor="background1" w:themeShade="BF" w:sz="4" w:space="0"/>
          <w:left w:val="single" w:color="BEBEBE" w:themeColor="background1" w:themeShade="BF" w:sz="4" w:space="0"/>
          <w:bottom w:val="single" w:color="BEBEBE" w:themeColor="background1" w:themeShade="BF" w:sz="4" w:space="0"/>
          <w:right w:val="single" w:color="BEBEBE" w:themeColor="background1" w:themeShade="BF" w:sz="4" w:space="0"/>
          <w:insideH w:val="single" w:color="BEBEBE" w:themeColor="background1" w:themeShade="BF" w:sz="4" w:space="0"/>
          <w:insideV w:val="single" w:color="BEBEBE" w:themeColor="background1" w:themeShade="BF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1368"/>
        <w:gridCol w:w="1687"/>
        <w:gridCol w:w="496"/>
        <w:gridCol w:w="1031"/>
        <w:gridCol w:w="1068"/>
        <w:gridCol w:w="1305"/>
        <w:gridCol w:w="1166"/>
      </w:tblGrid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 w:val="18"/>
                <w:szCs w:val="18"/>
                <w:lang w:val="en-US" w:eastAsia="zh-CN"/>
              </w:rPr>
              <w:t>序号</w:t>
            </w:r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b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 w:val="18"/>
                <w:szCs w:val="18"/>
                <w:lang w:val="en-US" w:eastAsia="zh-CN"/>
              </w:rPr>
              <w:t>权证号</w:t>
            </w:r>
          </w:p>
        </w:tc>
        <w:tc>
          <w:tcPr>
            <w:tcW w:w="959" w:type="pct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 w:val="18"/>
                <w:szCs w:val="18"/>
                <w:lang w:val="en-US" w:eastAsia="zh-CN"/>
              </w:rPr>
              <w:t>坐落</w:t>
            </w:r>
          </w:p>
        </w:tc>
        <w:tc>
          <w:tcPr>
            <w:tcW w:w="282" w:type="pct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 w:val="18"/>
                <w:szCs w:val="18"/>
                <w:lang w:val="en-US" w:eastAsia="zh-CN"/>
              </w:rPr>
              <w:t>用途</w:t>
            </w:r>
          </w:p>
        </w:tc>
        <w:tc>
          <w:tcPr>
            <w:tcW w:w="586" w:type="pct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 w:val="18"/>
                <w:szCs w:val="18"/>
                <w:lang w:val="en-US" w:eastAsia="zh-CN"/>
              </w:rPr>
              <w:t>面积（㎡）</w:t>
            </w:r>
          </w:p>
        </w:tc>
        <w:tc>
          <w:tcPr>
            <w:tcW w:w="607" w:type="pct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 w:val="18"/>
                <w:szCs w:val="18"/>
                <w:lang w:val="en-US" w:eastAsia="zh-CN"/>
              </w:rPr>
              <w:t>使用权类型</w:t>
            </w:r>
          </w:p>
        </w:tc>
        <w:tc>
          <w:tcPr>
            <w:tcW w:w="742" w:type="pct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 w:val="18"/>
                <w:szCs w:val="18"/>
                <w:lang w:val="en-US" w:eastAsia="zh-CN"/>
              </w:rPr>
              <w:t>使用期限</w:t>
            </w:r>
          </w:p>
        </w:tc>
        <w:tc>
          <w:tcPr>
            <w:tcW w:w="663" w:type="pct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 w:val="18"/>
                <w:szCs w:val="18"/>
                <w:lang w:val="en-US" w:eastAsia="zh-CN"/>
              </w:rPr>
              <w:t>登记日期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>吴国用（2010）第06100035号</w:t>
            </w:r>
          </w:p>
        </w:tc>
        <w:tc>
          <w:tcPr>
            <w:tcW w:w="95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>苏州市吴中区甪直镇凌港路66 号</w:t>
            </w:r>
          </w:p>
        </w:tc>
        <w:tc>
          <w:tcPr>
            <w:tcW w:w="28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>工业用地</w:t>
            </w:r>
          </w:p>
        </w:tc>
        <w:tc>
          <w:tcPr>
            <w:tcW w:w="58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>32443.30</w:t>
            </w:r>
          </w:p>
        </w:tc>
        <w:tc>
          <w:tcPr>
            <w:tcW w:w="607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>出让</w:t>
            </w:r>
          </w:p>
        </w:tc>
        <w:tc>
          <w:tcPr>
            <w:tcW w:w="74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>至2056-05-30</w:t>
            </w:r>
          </w:p>
        </w:tc>
        <w:tc>
          <w:tcPr>
            <w:tcW w:w="66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>2010-01-15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exact"/>
        <w:ind w:firstLine="480" w:firstLineChars="200"/>
        <w:textAlignment w:val="auto"/>
        <w:rPr>
          <w:b/>
          <w:sz w:val="21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2.房屋所有权</w:t>
      </w:r>
    </w:p>
    <w:tbl>
      <w:tblPr>
        <w:tblStyle w:val="8"/>
        <w:tblW w:w="8787" w:type="dxa"/>
        <w:jc w:val="center"/>
        <w:tblBorders>
          <w:top w:val="single" w:color="BEBEBE" w:themeColor="background1" w:themeShade="BF" w:sz="4" w:space="0"/>
          <w:left w:val="single" w:color="BEBEBE" w:themeColor="background1" w:themeShade="BF" w:sz="4" w:space="0"/>
          <w:bottom w:val="single" w:color="BEBEBE" w:themeColor="background1" w:themeShade="BF" w:sz="4" w:space="0"/>
          <w:right w:val="single" w:color="BEBEBE" w:themeColor="background1" w:themeShade="BF" w:sz="4" w:space="0"/>
          <w:insideH w:val="single" w:color="BEBEBE" w:themeColor="background1" w:themeShade="BF" w:sz="4" w:space="0"/>
          <w:insideV w:val="single" w:color="BEBEBE" w:themeColor="background1" w:themeShade="BF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1"/>
        <w:gridCol w:w="1386"/>
        <w:gridCol w:w="2216"/>
        <w:gridCol w:w="1008"/>
        <w:gridCol w:w="1099"/>
        <w:gridCol w:w="1257"/>
        <w:gridCol w:w="1150"/>
      </w:tblGrid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82" w:type="pct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 w:val="18"/>
                <w:szCs w:val="18"/>
                <w:lang w:val="en-US" w:eastAsia="zh-CN"/>
              </w:rPr>
              <w:t>序号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 w:val="18"/>
                <w:szCs w:val="18"/>
                <w:lang w:val="en-US" w:eastAsia="zh-CN"/>
              </w:rPr>
              <w:t>权证号</w:t>
            </w:r>
          </w:p>
        </w:tc>
        <w:tc>
          <w:tcPr>
            <w:tcW w:w="1259" w:type="pct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 w:val="18"/>
                <w:szCs w:val="18"/>
                <w:lang w:val="en-US" w:eastAsia="zh-CN"/>
              </w:rPr>
              <w:t>坐落</w:t>
            </w:r>
          </w:p>
        </w:tc>
        <w:tc>
          <w:tcPr>
            <w:tcW w:w="573" w:type="pct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 w:val="18"/>
                <w:szCs w:val="18"/>
                <w:lang w:val="en-US" w:eastAsia="zh-CN"/>
              </w:rPr>
              <w:t>面积（㎡）</w:t>
            </w:r>
          </w:p>
        </w:tc>
        <w:tc>
          <w:tcPr>
            <w:tcW w:w="625" w:type="pct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 w:val="18"/>
                <w:szCs w:val="18"/>
                <w:lang w:val="en-US" w:eastAsia="zh-CN"/>
              </w:rPr>
              <w:t>总层数</w:t>
            </w:r>
          </w:p>
        </w:tc>
        <w:tc>
          <w:tcPr>
            <w:tcW w:w="715" w:type="pct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 w:val="18"/>
                <w:szCs w:val="18"/>
                <w:lang w:val="en-US" w:eastAsia="zh-CN"/>
              </w:rPr>
              <w:t>设计用途</w:t>
            </w:r>
          </w:p>
        </w:tc>
        <w:tc>
          <w:tcPr>
            <w:tcW w:w="654" w:type="pct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 w:val="18"/>
                <w:szCs w:val="18"/>
                <w:lang w:val="en-US" w:eastAsia="zh-CN"/>
              </w:rPr>
              <w:t>登记时间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82" w:type="pct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1</w:t>
            </w:r>
          </w:p>
        </w:tc>
        <w:tc>
          <w:tcPr>
            <w:tcW w:w="788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00092444</w:t>
            </w:r>
          </w:p>
        </w:tc>
        <w:tc>
          <w:tcPr>
            <w:tcW w:w="1259" w:type="pct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苏州市吴中区甪直镇凌港路 66-8号</w:t>
            </w: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幢</w:t>
            </w:r>
          </w:p>
        </w:tc>
        <w:tc>
          <w:tcPr>
            <w:tcW w:w="573" w:type="pct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4946.59</w:t>
            </w:r>
          </w:p>
        </w:tc>
        <w:tc>
          <w:tcPr>
            <w:tcW w:w="625" w:type="pct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2</w:t>
            </w:r>
          </w:p>
        </w:tc>
        <w:tc>
          <w:tcPr>
            <w:tcW w:w="715" w:type="pct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非居住用房</w:t>
            </w:r>
          </w:p>
        </w:tc>
        <w:tc>
          <w:tcPr>
            <w:tcW w:w="654" w:type="pct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2008-</w:t>
            </w: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4-21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82" w:type="pct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2</w:t>
            </w:r>
          </w:p>
        </w:tc>
        <w:tc>
          <w:tcPr>
            <w:tcW w:w="78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1259" w:type="pct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苏州市吴中区甪直镇凌港路 66-8号</w:t>
            </w: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幢</w:t>
            </w:r>
          </w:p>
        </w:tc>
        <w:tc>
          <w:tcPr>
            <w:tcW w:w="573" w:type="pct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2148.16</w:t>
            </w:r>
          </w:p>
        </w:tc>
        <w:tc>
          <w:tcPr>
            <w:tcW w:w="625" w:type="pct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3</w:t>
            </w:r>
          </w:p>
        </w:tc>
        <w:tc>
          <w:tcPr>
            <w:tcW w:w="715" w:type="pct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非居住用房</w:t>
            </w:r>
          </w:p>
        </w:tc>
        <w:tc>
          <w:tcPr>
            <w:tcW w:w="654" w:type="pct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2008-</w:t>
            </w: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4-21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82" w:type="pct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88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00092445</w:t>
            </w:r>
          </w:p>
        </w:tc>
        <w:tc>
          <w:tcPr>
            <w:tcW w:w="1259" w:type="pct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苏州市吴中区甪直镇凌港路 66-</w:t>
            </w: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号</w:t>
            </w: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幢</w:t>
            </w:r>
          </w:p>
        </w:tc>
        <w:tc>
          <w:tcPr>
            <w:tcW w:w="573" w:type="pct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82.10</w:t>
            </w:r>
          </w:p>
        </w:tc>
        <w:tc>
          <w:tcPr>
            <w:tcW w:w="625" w:type="pct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15" w:type="pct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非居住用房</w:t>
            </w:r>
          </w:p>
        </w:tc>
        <w:tc>
          <w:tcPr>
            <w:tcW w:w="654" w:type="pct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2008-</w:t>
            </w: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4-21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82" w:type="pct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8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1259" w:type="pct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苏州市吴中区甪直镇凌港路 66-</w:t>
            </w: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号</w:t>
            </w: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幢</w:t>
            </w:r>
          </w:p>
        </w:tc>
        <w:tc>
          <w:tcPr>
            <w:tcW w:w="573" w:type="pct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31.70</w:t>
            </w:r>
          </w:p>
        </w:tc>
        <w:tc>
          <w:tcPr>
            <w:tcW w:w="625" w:type="pct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15" w:type="pct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非居住用房</w:t>
            </w:r>
          </w:p>
        </w:tc>
        <w:tc>
          <w:tcPr>
            <w:tcW w:w="654" w:type="pct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2008-</w:t>
            </w: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4-21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82" w:type="pct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8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1259" w:type="pct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苏州市吴中区甪直镇凌港路 66-</w:t>
            </w: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号</w:t>
            </w: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幢</w:t>
            </w:r>
          </w:p>
        </w:tc>
        <w:tc>
          <w:tcPr>
            <w:tcW w:w="573" w:type="pct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3432.05</w:t>
            </w:r>
          </w:p>
        </w:tc>
        <w:tc>
          <w:tcPr>
            <w:tcW w:w="625" w:type="pct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15" w:type="pct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非居住用房</w:t>
            </w:r>
          </w:p>
        </w:tc>
        <w:tc>
          <w:tcPr>
            <w:tcW w:w="654" w:type="pct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2008-</w:t>
            </w: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4-21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82" w:type="pct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default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88" w:type="pct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00384173</w:t>
            </w:r>
          </w:p>
        </w:tc>
        <w:tc>
          <w:tcPr>
            <w:tcW w:w="1259" w:type="pct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苏州市吴中区甪直镇凌港路 66-8号</w:t>
            </w: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幢</w:t>
            </w:r>
          </w:p>
        </w:tc>
        <w:tc>
          <w:tcPr>
            <w:tcW w:w="573" w:type="pct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1480.31</w:t>
            </w:r>
          </w:p>
        </w:tc>
        <w:tc>
          <w:tcPr>
            <w:tcW w:w="625" w:type="pct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15" w:type="pct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非居住用房</w:t>
            </w:r>
          </w:p>
        </w:tc>
        <w:tc>
          <w:tcPr>
            <w:tcW w:w="654" w:type="pct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2014-</w:t>
            </w: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8-19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82" w:type="pct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88" w:type="pct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00384176</w:t>
            </w:r>
          </w:p>
        </w:tc>
        <w:tc>
          <w:tcPr>
            <w:tcW w:w="1259" w:type="pct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苏州市吴中区甪直镇凌港路 66-8号</w:t>
            </w: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幢</w:t>
            </w:r>
          </w:p>
        </w:tc>
        <w:tc>
          <w:tcPr>
            <w:tcW w:w="573" w:type="pct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1480.31</w:t>
            </w:r>
          </w:p>
        </w:tc>
        <w:tc>
          <w:tcPr>
            <w:tcW w:w="625" w:type="pct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15" w:type="pct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非居住用房</w:t>
            </w:r>
          </w:p>
        </w:tc>
        <w:tc>
          <w:tcPr>
            <w:tcW w:w="654" w:type="pct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2014-</w:t>
            </w: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8-19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430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en-US" w:eastAsia="zh-CN"/>
              </w:rPr>
              <w:t>合计</w:t>
            </w:r>
          </w:p>
        </w:tc>
        <w:tc>
          <w:tcPr>
            <w:tcW w:w="573" w:type="pct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default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13601.22</w:t>
            </w:r>
          </w:p>
        </w:tc>
        <w:tc>
          <w:tcPr>
            <w:tcW w:w="625" w:type="pct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</w:p>
        </w:tc>
        <w:tc>
          <w:tcPr>
            <w:tcW w:w="715" w:type="pct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654" w:type="pct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after="63" w:afterLines="20" w:line="480" w:lineRule="exact"/>
        <w:ind w:firstLine="482" w:firstLineChars="200"/>
        <w:textAlignment w:val="auto"/>
        <w:rPr>
          <w:rFonts w:hint="default" w:ascii="楷体" w:hAnsi="楷体" w:eastAsia="楷体" w:cs="楷体"/>
          <w:b/>
          <w:bCs/>
          <w:lang w:val="en-US" w:eastAsia="zh-CN"/>
        </w:rPr>
      </w:pPr>
      <w:r>
        <w:rPr>
          <w:rFonts w:hint="eastAsia" w:ascii="楷体" w:hAnsi="楷体" w:eastAsia="楷体" w:cs="楷体"/>
          <w:b/>
          <w:bCs/>
          <w:lang w:val="en-US" w:eastAsia="zh-CN"/>
        </w:rPr>
        <w:t>（四）主要负债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目前本案尚处于债权申报期，</w:t>
      </w:r>
      <w:r>
        <w:rPr>
          <w:rFonts w:hint="eastAsia" w:ascii="宋体" w:hAnsi="宋体" w:eastAsia="宋体" w:cs="宋体"/>
          <w:b w:val="0"/>
          <w:bCs w:val="0"/>
          <w:lang w:eastAsia="zh-CN"/>
        </w:rPr>
        <w:t>故暂不予披露，通过报名资格审查的意向投资人可向管理人了解具体情况。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firstLine="482" w:firstLineChars="200"/>
        <w:textAlignment w:val="auto"/>
        <w:rPr>
          <w:rFonts w:hint="eastAsia" w:ascii="黑体" w:hAnsi="黑体" w:eastAsia="黑体" w:cs="黑体"/>
          <w:b/>
          <w:bCs/>
          <w:lang w:val="en-US" w:eastAsia="zh-CN"/>
        </w:rPr>
      </w:pPr>
      <w:r>
        <w:rPr>
          <w:rFonts w:hint="eastAsia" w:ascii="黑体" w:hAnsi="黑体" w:eastAsia="黑体" w:cs="黑体"/>
          <w:b/>
          <w:bCs/>
          <w:lang w:val="en-US" w:eastAsia="zh-CN"/>
        </w:rPr>
        <w:t>三、招募方案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after="63" w:afterLines="20" w:line="480" w:lineRule="exact"/>
        <w:ind w:firstLine="482" w:firstLineChars="200"/>
        <w:textAlignment w:val="auto"/>
        <w:rPr>
          <w:rFonts w:hint="eastAsia" w:ascii="楷体" w:hAnsi="楷体" w:eastAsia="楷体" w:cs="楷体"/>
          <w:b/>
          <w:bCs/>
          <w:lang w:val="en-US" w:eastAsia="zh-CN"/>
        </w:rPr>
      </w:pPr>
      <w:r>
        <w:rPr>
          <w:rFonts w:hint="eastAsia" w:ascii="楷体" w:hAnsi="楷体" w:eastAsia="楷体" w:cs="楷体"/>
          <w:b/>
          <w:bCs/>
          <w:lang w:val="en-US" w:eastAsia="zh-CN"/>
        </w:rPr>
        <w:t>（一）意向投资人基本条件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1.</w:t>
      </w:r>
      <w:r>
        <w:rPr>
          <w:rFonts w:hint="eastAsia" w:ascii="宋体" w:hAnsi="宋体" w:eastAsia="宋体" w:cs="宋体"/>
          <w:b w:val="0"/>
          <w:bCs w:val="0"/>
          <w:lang w:eastAsia="zh-CN"/>
        </w:rPr>
        <w:t>依法成立并有效存续的企业法人或依法组建的联合体；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2.</w:t>
      </w:r>
      <w:r>
        <w:rPr>
          <w:rFonts w:hint="eastAsia" w:ascii="宋体" w:hAnsi="宋体" w:eastAsia="宋体" w:cs="宋体"/>
          <w:b w:val="0"/>
          <w:bCs w:val="0"/>
          <w:lang w:eastAsia="zh-CN"/>
        </w:rPr>
        <w:t>具有足够的资金实力,并能够提供相应的资信证明或其他履约能力证明；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3.</w:t>
      </w:r>
      <w:r>
        <w:rPr>
          <w:rFonts w:hint="eastAsia" w:ascii="宋体" w:hAnsi="宋体" w:eastAsia="宋体" w:cs="宋体"/>
          <w:b w:val="0"/>
          <w:bCs w:val="0"/>
          <w:lang w:eastAsia="zh-CN"/>
        </w:rPr>
        <w:t>具有相适应的生产经营和管理能力；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4.</w:t>
      </w:r>
      <w:r>
        <w:rPr>
          <w:rFonts w:hint="eastAsia" w:ascii="宋体" w:hAnsi="宋体" w:eastAsia="宋体" w:cs="宋体"/>
          <w:b w:val="0"/>
          <w:bCs w:val="0"/>
          <w:lang w:eastAsia="zh-CN"/>
        </w:rPr>
        <w:t>具有良好的商业信誉，无重大违法、违规及重大未决诉讼等情形。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after="63" w:afterLines="20" w:line="480" w:lineRule="exact"/>
        <w:ind w:firstLine="482" w:firstLineChars="200"/>
        <w:textAlignment w:val="auto"/>
        <w:rPr>
          <w:rFonts w:hint="default" w:ascii="楷体" w:hAnsi="楷体" w:eastAsia="楷体" w:cs="楷体"/>
          <w:b/>
          <w:bCs/>
          <w:lang w:val="en-US" w:eastAsia="zh-CN"/>
        </w:rPr>
      </w:pPr>
      <w:r>
        <w:rPr>
          <w:rFonts w:hint="eastAsia" w:ascii="楷体" w:hAnsi="楷体" w:eastAsia="楷体" w:cs="楷体"/>
          <w:b/>
          <w:bCs/>
          <w:lang w:val="en-US" w:eastAsia="zh-CN"/>
        </w:rPr>
        <w:t>（二）意向投资人报名方式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意向投资人最迟应于2019年11月24日前向清算组报名并提交以下材料：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1.</w:t>
      </w:r>
      <w:r>
        <w:rPr>
          <w:rFonts w:hint="eastAsia" w:ascii="宋体" w:hAnsi="宋体" w:eastAsia="宋体" w:cs="宋体"/>
          <w:b w:val="0"/>
          <w:bCs w:val="0"/>
          <w:lang w:eastAsia="zh-CN"/>
        </w:rPr>
        <w:t xml:space="preserve">投资报名书（需附股东会决议）；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lang w:eastAsia="zh-CN"/>
        </w:rPr>
        <w:t xml:space="preserve">2.公司简介（基本情况、主营业务、收购资金来源等）；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lang w:eastAsia="zh-CN"/>
        </w:rPr>
        <w:t xml:space="preserve">3.营业执照复印件及其他资质证书；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lang w:eastAsia="zh-CN"/>
        </w:rPr>
        <w:t>4.最近两年经审计的财务报告及最新一期的财务报表，</w:t>
      </w:r>
      <w:r>
        <w:rPr>
          <w:rFonts w:hint="eastAsia" w:ascii="宋体" w:hAnsi="宋体" w:eastAsia="宋体" w:cs="宋体"/>
          <w:b w:val="0"/>
          <w:bCs w:val="0"/>
          <w:lang w:val="en-US" w:eastAsia="zh-CN"/>
        </w:rPr>
        <w:t>成立不足两年的提交</w:t>
      </w:r>
      <w:r>
        <w:rPr>
          <w:rFonts w:hint="eastAsia" w:ascii="宋体" w:hAnsi="宋体" w:eastAsia="宋体" w:cs="宋体"/>
          <w:b w:val="0"/>
          <w:bCs w:val="0"/>
          <w:lang w:eastAsia="zh-CN"/>
        </w:rPr>
        <w:t>最</w:t>
      </w:r>
      <w:r>
        <w:rPr>
          <w:rFonts w:hint="eastAsia" w:ascii="宋体" w:hAnsi="宋体" w:eastAsia="宋体" w:cs="宋体"/>
          <w:b w:val="0"/>
          <w:bCs w:val="0"/>
          <w:lang w:val="en-US" w:eastAsia="zh-CN"/>
        </w:rPr>
        <w:t>近</w:t>
      </w:r>
      <w:r>
        <w:rPr>
          <w:rFonts w:hint="eastAsia" w:ascii="宋体" w:hAnsi="宋体" w:eastAsia="宋体" w:cs="宋体"/>
          <w:b w:val="0"/>
          <w:bCs w:val="0"/>
          <w:lang w:eastAsia="zh-CN"/>
        </w:rPr>
        <w:t>一期的财务报</w:t>
      </w:r>
      <w:r>
        <w:rPr>
          <w:rFonts w:hint="eastAsia" w:ascii="宋体" w:hAnsi="宋体" w:eastAsia="宋体" w:cs="宋体"/>
          <w:b w:val="0"/>
          <w:bCs w:val="0"/>
          <w:lang w:val="en-US" w:eastAsia="zh-CN"/>
        </w:rPr>
        <w:t>告和报</w:t>
      </w:r>
      <w:r>
        <w:rPr>
          <w:rFonts w:hint="eastAsia" w:ascii="宋体" w:hAnsi="宋体" w:eastAsia="宋体" w:cs="宋体"/>
          <w:b w:val="0"/>
          <w:bCs w:val="0"/>
          <w:lang w:eastAsia="zh-CN"/>
        </w:rPr>
        <w:t xml:space="preserve">表。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after="63" w:afterLines="20" w:line="480" w:lineRule="exact"/>
        <w:ind w:firstLine="482" w:firstLineChars="200"/>
        <w:textAlignment w:val="auto"/>
        <w:rPr>
          <w:rFonts w:hint="eastAsia" w:ascii="楷体" w:hAnsi="楷体" w:eastAsia="楷体" w:cs="楷体"/>
          <w:b/>
          <w:bCs/>
          <w:lang w:val="en-US" w:eastAsia="zh-CN"/>
        </w:rPr>
      </w:pPr>
      <w:r>
        <w:rPr>
          <w:rFonts w:hint="eastAsia" w:ascii="楷体" w:hAnsi="楷体" w:eastAsia="楷体" w:cs="楷体"/>
          <w:b/>
          <w:bCs/>
          <w:lang w:val="en-US" w:eastAsia="zh-CN"/>
        </w:rPr>
        <w:t>（三）意向投资人尽职调查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1.成功报名的意向投资人在与清算组签订《保密协议》并缴纳保证金人民币100万元后，方可对转让标的进行尽职调查，清算组将予以配合；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2.意向投资人自行承担开展尽职调查所需的费用；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3.意向投资人可以向地方政府了解当地产业规划和税收政策；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4.意向投资人最迟应于2019年12月4前完成尽职调查工作。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after="63" w:afterLines="20" w:line="480" w:lineRule="exact"/>
        <w:ind w:firstLine="482" w:firstLineChars="200"/>
        <w:textAlignment w:val="auto"/>
        <w:rPr>
          <w:rFonts w:hint="eastAsia" w:ascii="楷体" w:hAnsi="楷体" w:eastAsia="楷体" w:cs="楷体"/>
          <w:b/>
          <w:bCs/>
          <w:lang w:val="en-US" w:eastAsia="zh-CN"/>
        </w:rPr>
      </w:pPr>
      <w:r>
        <w:rPr>
          <w:rFonts w:hint="eastAsia" w:ascii="楷体" w:hAnsi="楷体" w:eastAsia="楷体" w:cs="楷体"/>
          <w:b/>
          <w:bCs/>
          <w:lang w:val="en-US" w:eastAsia="zh-CN"/>
        </w:rPr>
        <w:t>（四）提交重整投资方案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1.尽职调查结束后，意向投资人应根据已掌握的转让标的的情况，结合自身商业判断和风险评估，于2019年12月10日前向清算组提交具有可操作性且不可撤销的、内容不得设置假设性前提的《重整投资方案》，同时缴纳履约保证金人民币1000万元（报名时缴纳的100万元保证金自动计入履约保证金；放弃参与重整事务的，已缴纳的100万元保证金，清算组将在收到退款请求后三个工作日内无息退还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2.《重整投资方案》需装订成册并加盖意向投资人公章，一式三份，同时提供内容一致的电子版文件发送至指定邮箱；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3.《重整投资方案》一旦提交，除对债权人有利情形外不得变更。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firstLine="482" w:firstLineChars="200"/>
        <w:textAlignment w:val="auto"/>
        <w:rPr>
          <w:rFonts w:hint="eastAsia" w:ascii="黑体" w:hAnsi="黑体" w:eastAsia="黑体" w:cs="黑体"/>
          <w:b/>
          <w:bCs/>
          <w:lang w:val="en-US" w:eastAsia="zh-CN"/>
        </w:rPr>
      </w:pPr>
      <w:r>
        <w:rPr>
          <w:rFonts w:hint="eastAsia" w:ascii="黑体" w:hAnsi="黑体" w:eastAsia="黑体" w:cs="黑体"/>
          <w:b/>
          <w:bCs/>
          <w:lang w:val="en-US" w:eastAsia="zh-CN"/>
        </w:rPr>
        <w:t>四、意向投资人评选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对于在规定期限内提交《重整投资方案》并缴纳履约保证金的意向投资人，清算组将在苏州市吴中区人民法院的监督下，与其进行实质性磋商，以实现可瑞斯特公司资产价值最大化、切实保护全体债权人的合法权益为原则，对各意向投资人出价高低、支付方式、支付期限、履约能力、履约保障等方面进行综合评审，最终确定正式重整投资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firstLine="482" w:firstLineChars="200"/>
        <w:textAlignment w:val="auto"/>
        <w:rPr>
          <w:rFonts w:hint="eastAsia" w:ascii="黑体" w:hAnsi="黑体" w:eastAsia="黑体" w:cs="黑体"/>
          <w:b/>
          <w:bCs/>
          <w:lang w:val="en-US" w:eastAsia="zh-CN"/>
        </w:rPr>
      </w:pPr>
      <w:r>
        <w:rPr>
          <w:rFonts w:hint="eastAsia" w:ascii="黑体" w:hAnsi="黑体" w:eastAsia="黑体" w:cs="黑体"/>
          <w:b/>
          <w:bCs/>
          <w:lang w:val="en-US" w:eastAsia="zh-CN"/>
        </w:rPr>
        <w:t>五、清算组联系方式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联系人：何恺律师      联系电话：15651639772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电子邮箱：hekai@he-partners.com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联系地址：苏州市工业园区苏州中心广场58幢A座31层，江苏剑桥颐华律师事务所，邮编215000。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80" w:lineRule="exact"/>
        <w:ind w:firstLine="480" w:firstLineChars="200"/>
        <w:jc w:val="right"/>
        <w:textAlignment w:val="auto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苏州可瑞斯特纺织品有限公司清算组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right"/>
        <w:textAlignment w:val="auto"/>
        <w:rPr>
          <w:rFonts w:hint="default" w:ascii="宋体" w:hAnsi="宋体" w:eastAsia="宋体" w:cs="宋体"/>
          <w:b w:val="0"/>
          <w:bCs w:val="0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lang w:val="en-US" w:eastAsia="zh-CN"/>
        </w:rPr>
        <w:t xml:space="preserve">二〇一九年十一月十二日    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5776F"/>
    <w:rsid w:val="0B752D49"/>
    <w:rsid w:val="0D854C81"/>
    <w:rsid w:val="1399110D"/>
    <w:rsid w:val="44452362"/>
    <w:rsid w:val="4FD7630B"/>
    <w:rsid w:val="5D6B4B9E"/>
    <w:rsid w:val="5E05776F"/>
    <w:rsid w:val="7C9E0B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inorEastAsia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779"/>
      <w:outlineLvl w:val="1"/>
    </w:pPr>
    <w:rPr>
      <w:rFonts w:ascii="等线" w:hAnsi="等线" w:eastAsia="等线" w:cs="等线"/>
      <w:b/>
      <w:bCs/>
      <w:sz w:val="28"/>
      <w:szCs w:val="28"/>
      <w:lang w:val="zh-CN" w:eastAsia="zh-CN" w:bidi="zh-CN"/>
    </w:rPr>
  </w:style>
  <w:style w:type="paragraph" w:styleId="3">
    <w:name w:val="heading 3"/>
    <w:basedOn w:val="1"/>
    <w:next w:val="1"/>
    <w:qFormat/>
    <w:uiPriority w:val="1"/>
    <w:pPr>
      <w:ind w:left="1460"/>
      <w:outlineLvl w:val="3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FollowedHyperlink"/>
    <w:basedOn w:val="10"/>
    <w:qFormat/>
    <w:uiPriority w:val="0"/>
    <w:rPr>
      <w:color w:val="576B95"/>
      <w:u w:val="none"/>
    </w:rPr>
  </w:style>
  <w:style w:type="character" w:styleId="12">
    <w:name w:val="Hyperlink"/>
    <w:basedOn w:val="10"/>
    <w:qFormat/>
    <w:uiPriority w:val="0"/>
    <w:rPr>
      <w:color w:val="576B95"/>
      <w:u w:val="none"/>
    </w:rPr>
  </w:style>
  <w:style w:type="table" w:customStyle="1" w:styleId="13">
    <w:name w:val="网格型1"/>
    <w:basedOn w:val="8"/>
    <w:qFormat/>
    <w:uiPriority w:val="59"/>
    <w:rPr>
      <w:rFonts w:ascii="等线" w:hAnsi="等线" w:eastAsia="等线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character" w:customStyle="1" w:styleId="15">
    <w:name w:val="img_bg_cover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1958</Words>
  <Characters>2277</Characters>
  <Lines>0</Lines>
  <Paragraphs>0</Paragraphs>
  <TotalTime>2</TotalTime>
  <ScaleCrop>false</ScaleCrop>
  <LinksUpToDate>false</LinksUpToDate>
  <CharactersWithSpaces>2304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2019-11-06T12:27:00Z</dcterms:created>
  <dc:creator>何恺</dc:creator>
  <cp:lastModifiedBy>何恺</cp:lastModifiedBy>
  <cp:lastPrinted>2019-11-12T03:19:00Z</cp:lastPrinted>
  <dcterms:modified xsi:type="dcterms:W3CDTF">2019-11-12T05:55:51Z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